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融合报道、应用创新和新媒体新闻专栏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初评报送作品目录</w:t>
      </w:r>
      <w:bookmarkStart w:id="0" w:name="附件2"/>
      <w:bookmarkEnd w:id="0"/>
    </w:p>
    <w:p>
      <w:pPr>
        <w:tabs>
          <w:tab w:val="right" w:pos="8730"/>
        </w:tabs>
        <w:spacing w:line="480" w:lineRule="exact"/>
        <w:jc w:val="center"/>
        <w:outlineLvl w:val="0"/>
        <w:rPr>
          <w:rFonts w:ascii="华文仿宋" w:hAnsi="华文仿宋" w:eastAsia="华文仿宋" w:cs="华文仿宋"/>
          <w:bCs/>
          <w:sz w:val="22"/>
          <w:szCs w:val="22"/>
        </w:rPr>
      </w:pPr>
      <w:r>
        <w:rPr>
          <w:rFonts w:hint="eastAsia" w:ascii="华文仿宋" w:hAnsi="华文仿宋" w:eastAsia="华文仿宋" w:cs="华文仿宋"/>
          <w:bCs/>
          <w:sz w:val="22"/>
          <w:szCs w:val="22"/>
        </w:rPr>
        <w:t>（报送单位填报）</w:t>
      </w:r>
    </w:p>
    <w:tbl>
      <w:tblPr>
        <w:tblStyle w:val="2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37"/>
        <w:gridCol w:w="950"/>
        <w:gridCol w:w="1203"/>
        <w:gridCol w:w="1439"/>
        <w:gridCol w:w="992"/>
        <w:gridCol w:w="113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作品标题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参评项目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发布平台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或时长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为全世界造车 中国新能源车的“硬核”输出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科技日报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微博账号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1398字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5分15秒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一组海报纪念毛泽东同志诞辰130周年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融合报道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科技日报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微博账号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59字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科普一下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新媒体新闻专栏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科技日报客户端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4分24秒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地</w:t>
            </w:r>
            <w:r>
              <w:rPr>
                <w:rFonts w:ascii="华文中宋" w:hAnsi="华文中宋" w:eastAsia="华文中宋"/>
                <w:b/>
                <w:sz w:val="24"/>
              </w:rPr>
              <w:t>、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县级融媒体中心作品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报送单位意见</w:t>
            </w:r>
          </w:p>
        </w:tc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领导签名：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（加盖单位公章）</w:t>
            </w:r>
          </w:p>
          <w:p>
            <w:pPr>
              <w:spacing w:line="360" w:lineRule="auto"/>
              <w:ind w:left="3360" w:hanging="3360" w:hangingChars="12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       2024年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  <w:t>报送单位联系人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请按照报送数额表规定数额报送，超额报送的，撤下此目录中排序靠后的作品。此表可从中国记协网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UxZjI0MjUzNTBjMmQ0MzZlMTQ3MzA1MzJmMGYifQ=="/>
  </w:docVars>
  <w:rsids>
    <w:rsidRoot w:val="176374CD"/>
    <w:rsid w:val="0AB7599E"/>
    <w:rsid w:val="176374CD"/>
    <w:rsid w:val="503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2024-04-01T01:52:00Z</dcterms:created>
  <dc:creator>Administrator</dc:creator>
  <cp:lastModifiedBy>Administrator</cp:lastModifiedBy>
  <dcterms:modified xsi:type="dcterms:W3CDTF">2024-04-01T05:33:41Z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E40EC84C89C947B581DA37F8F911E50B_11</vt:lpwstr>
  </property>
</Properties>
</file>